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76" w:tblpY="686"/>
        <w:tblW w:w="16160" w:type="dxa"/>
        <w:tblLook w:val="04A0" w:firstRow="1" w:lastRow="0" w:firstColumn="1" w:lastColumn="0" w:noHBand="0" w:noVBand="1"/>
      </w:tblPr>
      <w:tblGrid>
        <w:gridCol w:w="675"/>
        <w:gridCol w:w="2277"/>
        <w:gridCol w:w="1806"/>
        <w:gridCol w:w="1806"/>
        <w:gridCol w:w="65"/>
        <w:gridCol w:w="1741"/>
        <w:gridCol w:w="1805"/>
        <w:gridCol w:w="1733"/>
        <w:gridCol w:w="2234"/>
        <w:gridCol w:w="2018"/>
      </w:tblGrid>
      <w:tr w:rsidR="00F36F42" w:rsidTr="00F8246E">
        <w:tc>
          <w:tcPr>
            <w:tcW w:w="675" w:type="dxa"/>
          </w:tcPr>
          <w:p w:rsidR="00F36F42" w:rsidRDefault="00F36F42" w:rsidP="004D47F9"/>
        </w:tc>
        <w:tc>
          <w:tcPr>
            <w:tcW w:w="2277" w:type="dxa"/>
            <w:shd w:val="clear" w:color="auto" w:fill="DBE5F1" w:themeFill="accent1" w:themeFillTint="33"/>
          </w:tcPr>
          <w:p w:rsidR="00F36F42" w:rsidRPr="00972459" w:rsidRDefault="00F36F42" w:rsidP="004D47F9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F36F42" w:rsidRDefault="00F36F42" w:rsidP="004D47F9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F36F42" w:rsidRDefault="00F36F42" w:rsidP="004D47F9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806" w:type="dxa"/>
            <w:gridSpan w:val="2"/>
            <w:shd w:val="clear" w:color="auto" w:fill="DBE5F1" w:themeFill="accent1" w:themeFillTint="33"/>
          </w:tcPr>
          <w:p w:rsidR="00F36F42" w:rsidRDefault="00F36F42" w:rsidP="004D47F9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805" w:type="dxa"/>
            <w:shd w:val="clear" w:color="auto" w:fill="DBE5F1" w:themeFill="accent1" w:themeFillTint="33"/>
          </w:tcPr>
          <w:p w:rsidR="00F36F42" w:rsidRDefault="00F36F42" w:rsidP="004D47F9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733" w:type="dxa"/>
            <w:shd w:val="clear" w:color="auto" w:fill="DBE5F1" w:themeFill="accent1" w:themeFillTint="33"/>
          </w:tcPr>
          <w:p w:rsidR="00F36F42" w:rsidRDefault="00F36F42" w:rsidP="004D47F9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2234" w:type="dxa"/>
            <w:shd w:val="clear" w:color="auto" w:fill="DBE5F1" w:themeFill="accent1" w:themeFillTint="33"/>
          </w:tcPr>
          <w:p w:rsidR="00F36F42" w:rsidRDefault="00F36F42" w:rsidP="004D47F9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:rsidR="00F36F42" w:rsidRDefault="00F36F42" w:rsidP="004D47F9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  <w:tr w:rsidR="00735238" w:rsidTr="002C270B">
        <w:tc>
          <w:tcPr>
            <w:tcW w:w="675" w:type="dxa"/>
          </w:tcPr>
          <w:p w:rsidR="00735238" w:rsidRDefault="00735238" w:rsidP="004D47F9"/>
        </w:tc>
        <w:tc>
          <w:tcPr>
            <w:tcW w:w="15485" w:type="dxa"/>
            <w:gridSpan w:val="9"/>
            <w:shd w:val="clear" w:color="auto" w:fill="EAF1DD" w:themeFill="accent3" w:themeFillTint="33"/>
          </w:tcPr>
          <w:p w:rsidR="00735238" w:rsidRPr="00C27FEF" w:rsidRDefault="00AD442F" w:rsidP="004D47F9">
            <w:r w:rsidRPr="00C27FEF">
              <w:t>Problems solving and reasoning – within all lessons</w:t>
            </w:r>
            <w:r w:rsidR="005A131D" w:rsidRPr="00C27FEF">
              <w:t>, as often as possible will set the context for development of skills</w:t>
            </w:r>
          </w:p>
          <w:p w:rsidR="00CF44FF" w:rsidRPr="00C27FEF" w:rsidRDefault="00CF44FF" w:rsidP="004D47F9">
            <w:r w:rsidRPr="00C27FEF">
              <w:t>Solving problems involving counting, describing a problem using practical materials and pictures, using materials to solve a problem and to set the solution back in context.</w:t>
            </w:r>
          </w:p>
          <w:p w:rsidR="00CF44FF" w:rsidRPr="00C27FEF" w:rsidRDefault="00CF44FF" w:rsidP="004D47F9">
            <w:r w:rsidRPr="00C27FEF">
              <w:t>Explaining choices and talking about methods used orally or by using pictures.</w:t>
            </w:r>
          </w:p>
          <w:p w:rsidR="00CF44FF" w:rsidRPr="00C27FEF" w:rsidRDefault="00CF44FF" w:rsidP="004D47F9">
            <w:r w:rsidRPr="00C27FEF">
              <w:t>Talking about and generating simple patterns and relationships involving numbers, shapes; deciding whether examples satisfy given conditions; saying how objects or pattern</w:t>
            </w:r>
            <w:r w:rsidR="00AD442F" w:rsidRPr="00C27FEF">
              <w:t>s differ or share the same prop</w:t>
            </w:r>
            <w:r w:rsidRPr="00C27FEF">
              <w:t xml:space="preserve">erties. </w:t>
            </w:r>
          </w:p>
          <w:p w:rsidR="00A42358" w:rsidRPr="00C27FEF" w:rsidRDefault="00A42358" w:rsidP="004D47F9">
            <w:r w:rsidRPr="00C27FEF">
              <w:t>Solve problems involving simple adding, subtracting, doubling or halving in contexts of measures or money.</w:t>
            </w:r>
          </w:p>
          <w:p w:rsidR="00AD442F" w:rsidRPr="00C27FEF" w:rsidRDefault="00AD442F" w:rsidP="004D47F9"/>
        </w:tc>
      </w:tr>
      <w:tr w:rsidR="00F051E1" w:rsidTr="002C270B">
        <w:trPr>
          <w:cantSplit/>
          <w:trHeight w:val="1134"/>
        </w:trPr>
        <w:tc>
          <w:tcPr>
            <w:tcW w:w="675" w:type="dxa"/>
            <w:textDirection w:val="btLr"/>
          </w:tcPr>
          <w:p w:rsidR="00F051E1" w:rsidRPr="00C72CD6" w:rsidRDefault="00F051E1" w:rsidP="004D47F9">
            <w:pPr>
              <w:ind w:left="113" w:right="113"/>
              <w:rPr>
                <w:b/>
                <w:sz w:val="32"/>
                <w:szCs w:val="32"/>
              </w:rPr>
            </w:pPr>
            <w:r w:rsidRPr="00C72CD6">
              <w:rPr>
                <w:b/>
                <w:sz w:val="32"/>
                <w:szCs w:val="32"/>
              </w:rPr>
              <w:t>Autumn  1</w:t>
            </w:r>
            <w:r w:rsidRPr="004D47F9">
              <w:rPr>
                <w:b/>
              </w:rPr>
              <w:t xml:space="preserve"> </w:t>
            </w:r>
            <w:proofErr w:type="spellStart"/>
            <w:r w:rsidRPr="004D47F9">
              <w:rPr>
                <w:b/>
              </w:rPr>
              <w:t>Yr</w:t>
            </w:r>
            <w:proofErr w:type="spellEnd"/>
            <w:r w:rsidRPr="004D47F9">
              <w:rPr>
                <w:b/>
              </w:rPr>
              <w:t xml:space="preserve"> 1</w:t>
            </w:r>
          </w:p>
        </w:tc>
        <w:tc>
          <w:tcPr>
            <w:tcW w:w="5954" w:type="dxa"/>
            <w:gridSpan w:val="4"/>
            <w:shd w:val="clear" w:color="auto" w:fill="DBE5F1" w:themeFill="accent1" w:themeFillTint="33"/>
          </w:tcPr>
          <w:p w:rsidR="00F051E1" w:rsidRPr="000B2F85" w:rsidRDefault="00F051E1" w:rsidP="004D47F9">
            <w:pPr>
              <w:rPr>
                <w:b/>
                <w:u w:val="single"/>
              </w:rPr>
            </w:pPr>
            <w:r w:rsidRPr="000B2F85">
              <w:rPr>
                <w:b/>
                <w:u w:val="single"/>
              </w:rPr>
              <w:t>Number: Place Value</w:t>
            </w:r>
            <w:r>
              <w:rPr>
                <w:b/>
                <w:u w:val="single"/>
              </w:rPr>
              <w:t xml:space="preserve"> and number facts</w:t>
            </w:r>
          </w:p>
          <w:p w:rsidR="00F051E1" w:rsidRPr="00144012" w:rsidRDefault="00F051E1" w:rsidP="004D47F9">
            <w:r w:rsidRPr="00144012">
              <w:t xml:space="preserve">Counting to </w:t>
            </w:r>
            <w:r w:rsidR="00CF44FF">
              <w:t xml:space="preserve">(at least) </w:t>
            </w:r>
            <w:r w:rsidRPr="00144012">
              <w:t>ten forwards and backwards beginning with 0, 1 or any given number.</w:t>
            </w:r>
          </w:p>
          <w:p w:rsidR="00F051E1" w:rsidRDefault="00F051E1" w:rsidP="004D47F9">
            <w:proofErr w:type="spellStart"/>
            <w:r>
              <w:t>Subitising</w:t>
            </w:r>
            <w:proofErr w:type="spellEnd"/>
            <w:r w:rsidRPr="00144012">
              <w:t xml:space="preserve"> </w:t>
            </w:r>
            <w:r>
              <w:t>to 5, to 10</w:t>
            </w:r>
          </w:p>
          <w:p w:rsidR="00F051E1" w:rsidRPr="00144012" w:rsidRDefault="00F051E1" w:rsidP="004D47F9">
            <w:r w:rsidRPr="00144012">
              <w:t xml:space="preserve">Count read and write numbers to 10 </w:t>
            </w:r>
            <w:r>
              <w:t xml:space="preserve">(all children) </w:t>
            </w:r>
            <w:r w:rsidRPr="00144012">
              <w:t xml:space="preserve">in numerals and </w:t>
            </w:r>
            <w:r>
              <w:t xml:space="preserve">recognise </w:t>
            </w:r>
            <w:r w:rsidRPr="00144012">
              <w:t>words</w:t>
            </w:r>
          </w:p>
          <w:p w:rsidR="00F051E1" w:rsidRDefault="00F051E1" w:rsidP="004D47F9">
            <w:r w:rsidRPr="00144012">
              <w:t xml:space="preserve">Identify and represent numbers using concrete objects and pictorial representations including the number line and use the language of: equal to, more than, less than (fewer), most, least; Identify one more, one less; </w:t>
            </w:r>
          </w:p>
          <w:p w:rsidR="00F051E1" w:rsidRDefault="00F051E1" w:rsidP="004D47F9"/>
          <w:p w:rsidR="00F051E1" w:rsidRPr="00735238" w:rsidRDefault="00F051E1" w:rsidP="004D47F9">
            <w:r w:rsidRPr="00144012">
              <w:t>Count in multiples of twos.</w:t>
            </w:r>
            <w:r>
              <w:t xml:space="preserve">  </w:t>
            </w:r>
          </w:p>
          <w:p w:rsidR="00F051E1" w:rsidRDefault="00F051E1" w:rsidP="00735238">
            <w:r>
              <w:t xml:space="preserve">Doubling numbers to 1- 5, </w:t>
            </w:r>
          </w:p>
          <w:p w:rsidR="00F051E1" w:rsidRDefault="00F051E1" w:rsidP="004D47F9">
            <w:pPr>
              <w:rPr>
                <w:b/>
                <w:u w:val="single"/>
              </w:rPr>
            </w:pPr>
            <w:r w:rsidRPr="00735238">
              <w:rPr>
                <w:b/>
                <w:u w:val="single"/>
              </w:rPr>
              <w:t>Measures:</w:t>
            </w:r>
            <w:r>
              <w:rPr>
                <w:i/>
              </w:rPr>
              <w:t xml:space="preserve"> begin to recognise and know the value of different coins.</w:t>
            </w:r>
          </w:p>
        </w:tc>
        <w:tc>
          <w:tcPr>
            <w:tcW w:w="5279" w:type="dxa"/>
            <w:gridSpan w:val="3"/>
            <w:shd w:val="clear" w:color="auto" w:fill="DBE5F1" w:themeFill="accent1" w:themeFillTint="33"/>
          </w:tcPr>
          <w:p w:rsidR="00F051E1" w:rsidRDefault="00F051E1" w:rsidP="004D47F9">
            <w:pPr>
              <w:rPr>
                <w:b/>
                <w:u w:val="single"/>
              </w:rPr>
            </w:pPr>
            <w:r w:rsidRPr="00AB69E7">
              <w:rPr>
                <w:b/>
                <w:u w:val="single"/>
              </w:rPr>
              <w:t>Number: Mental addition and subtraction.</w:t>
            </w:r>
          </w:p>
          <w:p w:rsidR="00F051E1" w:rsidRDefault="00F051E1" w:rsidP="004D47F9">
            <w:r w:rsidRPr="00DC0A29">
              <w:t xml:space="preserve">Represent and use number bonds and related subtraction facts within 10. Add and subtract 1 digit numbers. Read, write and interpret mathematical statements involving addition, subtraction and equals signs. Solve one step problems that involve </w:t>
            </w:r>
            <w:proofErr w:type="spellStart"/>
            <w:r w:rsidRPr="00DC0A29">
              <w:t>additionand</w:t>
            </w:r>
            <w:proofErr w:type="spellEnd"/>
            <w:r w:rsidRPr="00DC0A29">
              <w:t xml:space="preserve"> subtraction using concrete objects and pictorial representations and missing number problems.</w:t>
            </w:r>
          </w:p>
          <w:p w:rsidR="00F051E1" w:rsidRPr="00CF44FF" w:rsidRDefault="00CF44FF" w:rsidP="00CF44F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Children may progress beyond these numbers but all should reach these. </w:t>
            </w:r>
            <w:r w:rsidR="00F051E1" w:rsidRPr="00CF44FF">
              <w:rPr>
                <w:i/>
              </w:rPr>
              <w:t xml:space="preserve">Ensure sufficient attention is also paid to calculation involving the interim numbers (number bonds to 8, 9, 11, 13, 17 </w:t>
            </w:r>
            <w:proofErr w:type="spellStart"/>
            <w:r w:rsidR="00F051E1" w:rsidRPr="00CF44FF">
              <w:rPr>
                <w:i/>
              </w:rPr>
              <w:t>etc</w:t>
            </w:r>
            <w:proofErr w:type="spellEnd"/>
            <w:r w:rsidR="00F051E1" w:rsidRPr="00CF44FF">
              <w:rPr>
                <w:i/>
              </w:rPr>
              <w:t>) as well</w:t>
            </w:r>
            <w:r>
              <w:rPr>
                <w:i/>
              </w:rPr>
              <w:t xml:space="preserve"> as landmark numbers</w:t>
            </w:r>
            <w:r w:rsidR="00F051E1" w:rsidRPr="00CF44FF">
              <w:rPr>
                <w:i/>
              </w:rPr>
              <w:t xml:space="preserve"> to develop number fluency.</w:t>
            </w:r>
          </w:p>
          <w:p w:rsidR="00F051E1" w:rsidRPr="00C72CD6" w:rsidRDefault="00F051E1" w:rsidP="004D47F9">
            <w:pPr>
              <w:rPr>
                <w:b/>
                <w:i/>
              </w:rPr>
            </w:pPr>
          </w:p>
        </w:tc>
        <w:tc>
          <w:tcPr>
            <w:tcW w:w="4252" w:type="dxa"/>
            <w:gridSpan w:val="2"/>
            <w:shd w:val="clear" w:color="auto" w:fill="EAF1DD" w:themeFill="accent3" w:themeFillTint="33"/>
          </w:tcPr>
          <w:p w:rsidR="00F051E1" w:rsidRPr="00F051E1" w:rsidRDefault="00F051E1" w:rsidP="004D47F9">
            <w:pPr>
              <w:rPr>
                <w:b/>
              </w:rPr>
            </w:pPr>
            <w:r w:rsidRPr="00F051E1">
              <w:rPr>
                <w:b/>
              </w:rPr>
              <w:t>Geometry: Shape</w:t>
            </w:r>
          </w:p>
          <w:p w:rsidR="00F051E1" w:rsidRDefault="00F051E1" w:rsidP="004D47F9">
            <w:r>
              <w:t xml:space="preserve">Recognise and name common 2D and 3D shapes including rectangles, squares, circles and triangles, cuboids, pyramids and spheres. </w:t>
            </w:r>
          </w:p>
          <w:p w:rsidR="00F051E1" w:rsidRDefault="00F051E1" w:rsidP="004D47F9"/>
          <w:p w:rsidR="00F051E1" w:rsidRDefault="00F051E1" w:rsidP="004D47F9">
            <w:r>
              <w:t xml:space="preserve">Describe position, direction and movement including whole, half, quarter and three quarter turns. </w:t>
            </w:r>
          </w:p>
          <w:p w:rsidR="00F051E1" w:rsidRDefault="00F051E1" w:rsidP="004D47F9"/>
        </w:tc>
      </w:tr>
    </w:tbl>
    <w:p w:rsidR="00240212" w:rsidRDefault="00735238">
      <w:r>
        <w:br w:type="page"/>
      </w:r>
    </w:p>
    <w:tbl>
      <w:tblPr>
        <w:tblStyle w:val="TableGrid"/>
        <w:tblpPr w:leftFromText="180" w:rightFromText="180" w:horzAnchor="margin" w:tblpY="686"/>
        <w:tblW w:w="15417" w:type="dxa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1843"/>
        <w:gridCol w:w="1843"/>
        <w:gridCol w:w="1842"/>
        <w:gridCol w:w="1843"/>
        <w:gridCol w:w="851"/>
        <w:gridCol w:w="992"/>
        <w:gridCol w:w="1843"/>
      </w:tblGrid>
      <w:tr w:rsidR="00F8246E" w:rsidTr="00F8246E">
        <w:trPr>
          <w:cantSplit/>
          <w:trHeight w:val="421"/>
        </w:trPr>
        <w:tc>
          <w:tcPr>
            <w:tcW w:w="675" w:type="dxa"/>
            <w:textDirection w:val="btLr"/>
          </w:tcPr>
          <w:p w:rsidR="00F8246E" w:rsidRDefault="00F8246E" w:rsidP="00F8246E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F8246E" w:rsidRDefault="00F8246E" w:rsidP="00F8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246E" w:rsidRDefault="00F8246E" w:rsidP="00F8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246E" w:rsidRDefault="00F8246E" w:rsidP="00F8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246E" w:rsidRDefault="00F8246E" w:rsidP="00F8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8246E" w:rsidRDefault="00F8246E" w:rsidP="00F8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8246E" w:rsidRDefault="00F8246E" w:rsidP="00F8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6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F8246E" w:rsidRDefault="00F8246E" w:rsidP="00F8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7</w:t>
            </w:r>
          </w:p>
        </w:tc>
        <w:tc>
          <w:tcPr>
            <w:tcW w:w="1843" w:type="dxa"/>
            <w:shd w:val="clear" w:color="auto" w:fill="FFFFFF" w:themeFill="background1"/>
          </w:tcPr>
          <w:p w:rsidR="00F8246E" w:rsidRDefault="00F8246E" w:rsidP="00F8246E">
            <w:pPr>
              <w:rPr>
                <w:b/>
                <w:u w:val="single"/>
              </w:rPr>
            </w:pPr>
          </w:p>
        </w:tc>
      </w:tr>
      <w:tr w:rsidR="00F8246E" w:rsidTr="002C270B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F8246E" w:rsidRPr="00C72CD6" w:rsidRDefault="00F8246E" w:rsidP="00F8246E">
            <w:pPr>
              <w:ind w:left="113" w:right="113"/>
              <w:rPr>
                <w:b/>
                <w:sz w:val="32"/>
                <w:szCs w:val="32"/>
              </w:rPr>
            </w:pPr>
            <w:r w:rsidRPr="00C72CD6">
              <w:rPr>
                <w:b/>
                <w:sz w:val="32"/>
                <w:szCs w:val="32"/>
              </w:rPr>
              <w:t>Autumn 2</w:t>
            </w: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4742" w:type="dxa"/>
            <w:gridSpan w:val="9"/>
            <w:shd w:val="clear" w:color="auto" w:fill="EAF1DD" w:themeFill="accent3" w:themeFillTint="33"/>
          </w:tcPr>
          <w:p w:rsidR="00F8246E" w:rsidRPr="00C27FEF" w:rsidRDefault="00F8246E" w:rsidP="00F8246E">
            <w:r w:rsidRPr="00C27FEF">
              <w:rPr>
                <w:b/>
                <w:u w:val="single"/>
              </w:rPr>
              <w:t>Problems solving and reasoning –</w:t>
            </w:r>
            <w:r w:rsidRPr="00C27FEF">
              <w:t xml:space="preserve"> within all lessons, as often as possible will set the context for development of skills</w:t>
            </w:r>
          </w:p>
          <w:p w:rsidR="00F8246E" w:rsidRPr="00C27FEF" w:rsidRDefault="00F8246E" w:rsidP="00F8246E">
            <w:r w:rsidRPr="00C27FEF">
              <w:t>Solving problems involving counting, describing a problem using practical materials and pictures, using materials to solve a problem and to set the solution back in context.</w:t>
            </w:r>
          </w:p>
          <w:p w:rsidR="00F8246E" w:rsidRPr="00C27FEF" w:rsidRDefault="00F8246E" w:rsidP="00F8246E">
            <w:r w:rsidRPr="00C27FEF">
              <w:t>Explaining choices and talking about methods used orally or by using pictures.</w:t>
            </w:r>
          </w:p>
          <w:p w:rsidR="00F8246E" w:rsidRPr="00C27FEF" w:rsidRDefault="00F8246E" w:rsidP="00F8246E">
            <w:r w:rsidRPr="00C27FEF">
              <w:t xml:space="preserve">Talking about and generating simple patterns and relationships involving numbers, shapes; deciding whether examples satisfy given conditions; saying how objects or patterns differ or share the same properties. </w:t>
            </w:r>
          </w:p>
          <w:p w:rsidR="00F8246E" w:rsidRPr="00C27FEF" w:rsidRDefault="00F8246E" w:rsidP="00F8246E">
            <w:r w:rsidRPr="00C27FEF">
              <w:t>Solve problems involving simple adding, subtracting, doubling or halving in contexts of measures and money.</w:t>
            </w:r>
          </w:p>
          <w:p w:rsidR="00F8246E" w:rsidRDefault="00F8246E" w:rsidP="00F8246E"/>
        </w:tc>
      </w:tr>
      <w:tr w:rsidR="00F8246E" w:rsidTr="002C270B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F8246E" w:rsidRPr="00C72CD6" w:rsidRDefault="00F8246E" w:rsidP="00F8246E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  <w:gridSpan w:val="7"/>
          </w:tcPr>
          <w:p w:rsidR="00F8246E" w:rsidRPr="00C72CD6" w:rsidRDefault="00F8246E" w:rsidP="00F8246E">
            <w:pPr>
              <w:shd w:val="clear" w:color="auto" w:fill="DBE5F1" w:themeFill="accent1" w:themeFillTint="33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Number: </w:t>
            </w:r>
            <w:r w:rsidRPr="00C72CD6">
              <w:rPr>
                <w:b/>
                <w:u w:val="single"/>
              </w:rPr>
              <w:t>Place Value</w:t>
            </w:r>
          </w:p>
          <w:p w:rsidR="00F8246E" w:rsidRPr="00DC0A29" w:rsidRDefault="00F8246E" w:rsidP="00F8246E">
            <w:pPr>
              <w:shd w:val="clear" w:color="auto" w:fill="DBE5F1" w:themeFill="accent1" w:themeFillTint="33"/>
            </w:pPr>
            <w:r w:rsidRPr="00DC0A29">
              <w:t>Count to twenty</w:t>
            </w:r>
            <w:r>
              <w:t xml:space="preserve"> (or above)</w:t>
            </w:r>
            <w:r w:rsidRPr="00DC0A29">
              <w:t xml:space="preserve">, forwards and backwards, beginning with 0 or </w:t>
            </w:r>
            <w:proofErr w:type="gramStart"/>
            <w:r w:rsidRPr="00DC0A29">
              <w:t>1 ,</w:t>
            </w:r>
            <w:proofErr w:type="gramEnd"/>
            <w:r w:rsidRPr="00DC0A29">
              <w:t xml:space="preserve"> from any given number.</w:t>
            </w:r>
          </w:p>
          <w:p w:rsidR="00F8246E" w:rsidRDefault="00F8246E" w:rsidP="00F8246E">
            <w:pPr>
              <w:shd w:val="clear" w:color="auto" w:fill="DBE5F1" w:themeFill="accent1" w:themeFillTint="33"/>
            </w:pPr>
            <w:r w:rsidRPr="00DC0A29">
              <w:t xml:space="preserve">Count read and </w:t>
            </w:r>
            <w:proofErr w:type="gramStart"/>
            <w:r w:rsidRPr="00DC0A29">
              <w:t>write</w:t>
            </w:r>
            <w:proofErr w:type="gramEnd"/>
            <w:r w:rsidRPr="00DC0A29">
              <w:t xml:space="preserve"> numbers from 1 to 20 in numerals </w:t>
            </w:r>
            <w:r>
              <w:t xml:space="preserve">and </w:t>
            </w:r>
            <w:r w:rsidRPr="00DC0A29">
              <w:t>words.</w:t>
            </w:r>
          </w:p>
          <w:p w:rsidR="00F8246E" w:rsidRPr="00DC0A29" w:rsidRDefault="00F8246E" w:rsidP="00F8246E">
            <w:pPr>
              <w:shd w:val="clear" w:color="auto" w:fill="DBE5F1" w:themeFill="accent1" w:themeFillTint="33"/>
            </w:pPr>
            <w:r>
              <w:t xml:space="preserve">Doubling numbers to 1-10. (Consider numbers 6-10 as 5 + 1, 5 + 2, 5 + 3 </w:t>
            </w:r>
            <w:proofErr w:type="spellStart"/>
            <w:r>
              <w:t>etc</w:t>
            </w:r>
            <w:proofErr w:type="spellEnd"/>
            <w:r>
              <w:t xml:space="preserve"> as an alternative model to memorising)</w:t>
            </w:r>
          </w:p>
          <w:p w:rsidR="00F8246E" w:rsidRDefault="00F8246E" w:rsidP="00F8246E">
            <w:pPr>
              <w:shd w:val="clear" w:color="auto" w:fill="DBE5F1" w:themeFill="accent1" w:themeFillTint="33"/>
            </w:pPr>
            <w:r w:rsidRPr="00DC0A29">
              <w:t>Identify and represent numbers u</w:t>
            </w:r>
            <w:bookmarkStart w:id="0" w:name="_GoBack"/>
            <w:bookmarkEnd w:id="0"/>
            <w:r w:rsidRPr="00DC0A29">
              <w:t>sing concrete objects and pictorial representations including the number line and use the language of: equal to, more than, less than (fewer), most, least; Identify one more, one less; Count in multiples of twos.</w:t>
            </w:r>
          </w:p>
          <w:p w:rsidR="00F8246E" w:rsidRDefault="00F8246E" w:rsidP="00F8246E">
            <w:pPr>
              <w:shd w:val="clear" w:color="auto" w:fill="DBE5F1" w:themeFill="accent1" w:themeFillTint="33"/>
            </w:pPr>
            <w:r>
              <w:t>Representation of numbers may also be in graph form*</w:t>
            </w:r>
          </w:p>
          <w:p w:rsidR="00F8246E" w:rsidRPr="00C72CD6" w:rsidRDefault="00F8246E" w:rsidP="00F8246E">
            <w:pPr>
              <w:shd w:val="clear" w:color="auto" w:fill="DBE5F1" w:themeFill="accent1" w:themeFillTint="33"/>
              <w:rPr>
                <w:b/>
                <w:u w:val="single"/>
              </w:rPr>
            </w:pPr>
            <w:r w:rsidRPr="00C72CD6">
              <w:rPr>
                <w:b/>
                <w:u w:val="single"/>
              </w:rPr>
              <w:t>Number: Addition and subtraction</w:t>
            </w:r>
          </w:p>
          <w:p w:rsidR="00F8246E" w:rsidRDefault="00F8246E" w:rsidP="00F8246E">
            <w:pPr>
              <w:shd w:val="clear" w:color="auto" w:fill="DBE5F1" w:themeFill="accent1" w:themeFillTint="33"/>
            </w:pPr>
            <w:r>
              <w:t>Represent and use number bonds and related subtraction facts within 20.</w:t>
            </w:r>
          </w:p>
          <w:p w:rsidR="00F8246E" w:rsidRDefault="00F8246E" w:rsidP="00F8246E">
            <w:pPr>
              <w:shd w:val="clear" w:color="auto" w:fill="DBE5F1" w:themeFill="accent1" w:themeFillTint="33"/>
            </w:pPr>
            <w:r>
              <w:t xml:space="preserve">Add and subtract one digit and two digit numbers to 20 including zero. </w:t>
            </w:r>
          </w:p>
          <w:p w:rsidR="00F8246E" w:rsidRPr="00C92C29" w:rsidRDefault="00F8246E" w:rsidP="00F8246E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92C2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Read, write and interpret mathematical statements involving addition, subtraction and equals signs; Solve one step problems using concrete objects and pictorial representations and missing number problems. </w:t>
            </w:r>
          </w:p>
          <w:p w:rsidR="00F8246E" w:rsidRPr="00C92C29" w:rsidRDefault="00F8246E" w:rsidP="00F8246E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  <w:r w:rsidRPr="00C92C2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 xml:space="preserve">Number: Multiplication and Division </w:t>
            </w:r>
          </w:p>
          <w:p w:rsidR="00F8246E" w:rsidRDefault="00F8246E" w:rsidP="00F8246E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92C2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Count in multiples of twos, fives and tens.</w:t>
            </w:r>
          </w:p>
          <w:p w:rsidR="00F8246E" w:rsidRPr="00203B67" w:rsidRDefault="00F8246E" w:rsidP="00F8246E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03B6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Solve one step problems involving multiplication and division, by calculating the answer using concrete objects, pictorial representations and arrays with the support of the teacher. </w:t>
            </w:r>
          </w:p>
          <w:p w:rsidR="00F8246E" w:rsidRDefault="00F8246E" w:rsidP="00F8246E">
            <w:pPr>
              <w:pStyle w:val="Default"/>
            </w:pP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F8246E" w:rsidRDefault="00F8246E" w:rsidP="00F8246E">
            <w:r>
              <w:t xml:space="preserve">As needed to reinforce, embed and </w:t>
            </w:r>
            <w:proofErr w:type="gramStart"/>
            <w:r>
              <w:t>apply  learning</w:t>
            </w:r>
            <w:proofErr w:type="gramEnd"/>
            <w:r>
              <w:t xml:space="preserve">. </w:t>
            </w:r>
          </w:p>
        </w:tc>
      </w:tr>
    </w:tbl>
    <w:p w:rsidR="00203B67" w:rsidRDefault="002C270B">
      <w:r>
        <w:br w:type="page"/>
      </w:r>
    </w:p>
    <w:tbl>
      <w:tblPr>
        <w:tblStyle w:val="TableGrid"/>
        <w:tblpPr w:leftFromText="180" w:rightFromText="180" w:horzAnchor="margin" w:tblpY="686"/>
        <w:tblW w:w="15417" w:type="dxa"/>
        <w:tblLook w:val="04A0" w:firstRow="1" w:lastRow="0" w:firstColumn="1" w:lastColumn="0" w:noHBand="0" w:noVBand="1"/>
      </w:tblPr>
      <w:tblGrid>
        <w:gridCol w:w="675"/>
        <w:gridCol w:w="2100"/>
        <w:gridCol w:w="1806"/>
        <w:gridCol w:w="1806"/>
        <w:gridCol w:w="1806"/>
        <w:gridCol w:w="1838"/>
        <w:gridCol w:w="73"/>
        <w:gridCol w:w="1344"/>
        <w:gridCol w:w="567"/>
        <w:gridCol w:w="1418"/>
        <w:gridCol w:w="178"/>
        <w:gridCol w:w="672"/>
        <w:gridCol w:w="1134"/>
      </w:tblGrid>
      <w:tr w:rsidR="00B777E5" w:rsidTr="002C270B">
        <w:tc>
          <w:tcPr>
            <w:tcW w:w="675" w:type="dxa"/>
          </w:tcPr>
          <w:p w:rsidR="00C72CD6" w:rsidRDefault="00C72CD6" w:rsidP="00AF0D9C"/>
        </w:tc>
        <w:tc>
          <w:tcPr>
            <w:tcW w:w="2100" w:type="dxa"/>
            <w:shd w:val="clear" w:color="auto" w:fill="DBE5F1" w:themeFill="accent1" w:themeFillTint="33"/>
          </w:tcPr>
          <w:p w:rsidR="00C72CD6" w:rsidRPr="00972459" w:rsidRDefault="00C72CD6" w:rsidP="00AF0D9C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3644" w:type="dxa"/>
            <w:gridSpan w:val="2"/>
            <w:shd w:val="clear" w:color="auto" w:fill="FFFFCC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850" w:type="dxa"/>
            <w:gridSpan w:val="2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134" w:type="dxa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  <w:tr w:rsidR="000971C7" w:rsidTr="002C270B">
        <w:trPr>
          <w:cantSplit/>
          <w:trHeight w:val="1134"/>
        </w:trPr>
        <w:tc>
          <w:tcPr>
            <w:tcW w:w="675" w:type="dxa"/>
            <w:textDirection w:val="btLr"/>
          </w:tcPr>
          <w:p w:rsidR="000971C7" w:rsidRPr="00203B67" w:rsidRDefault="000971C7" w:rsidP="00C92C29">
            <w:pPr>
              <w:ind w:left="113" w:right="113"/>
              <w:rPr>
                <w:b/>
                <w:sz w:val="32"/>
                <w:szCs w:val="32"/>
              </w:rPr>
            </w:pPr>
            <w:r w:rsidRPr="00203B67">
              <w:rPr>
                <w:b/>
                <w:sz w:val="32"/>
                <w:szCs w:val="32"/>
              </w:rPr>
              <w:t xml:space="preserve">Spring 1  </w:t>
            </w:r>
            <w:proofErr w:type="spellStart"/>
            <w:r w:rsidRPr="00203B67">
              <w:rPr>
                <w:b/>
                <w:sz w:val="32"/>
                <w:szCs w:val="32"/>
              </w:rPr>
              <w:t>Yr</w:t>
            </w:r>
            <w:proofErr w:type="spellEnd"/>
            <w:r w:rsidRPr="00203B67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9356" w:type="dxa"/>
            <w:gridSpan w:val="5"/>
          </w:tcPr>
          <w:p w:rsidR="000971C7" w:rsidRPr="001C1740" w:rsidRDefault="000971C7" w:rsidP="002C270B">
            <w:pPr>
              <w:pStyle w:val="Default"/>
              <w:shd w:val="clear" w:color="auto" w:fill="DBE5F1" w:themeFill="accent1" w:themeFillTint="33"/>
              <w:rPr>
                <w:b/>
                <w:sz w:val="20"/>
                <w:szCs w:val="20"/>
                <w:u w:val="single"/>
              </w:rPr>
            </w:pPr>
            <w:r w:rsidRPr="001C1740">
              <w:rPr>
                <w:b/>
                <w:sz w:val="20"/>
                <w:szCs w:val="20"/>
                <w:u w:val="single"/>
              </w:rPr>
              <w:t xml:space="preserve">Place Value </w:t>
            </w:r>
            <w:r w:rsidR="00B777E5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0971C7" w:rsidRPr="009A16F7" w:rsidRDefault="000971C7" w:rsidP="002C270B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Count to 40 forwards and backwards, beginning with 0 or 1, or from any number. </w:t>
            </w:r>
          </w:p>
          <w:p w:rsidR="000971C7" w:rsidRPr="009A16F7" w:rsidRDefault="000971C7" w:rsidP="002C270B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Count, read and write numbers from 1-40 in numerals and words. </w:t>
            </w:r>
          </w:p>
          <w:p w:rsidR="000971C7" w:rsidRPr="009A16F7" w:rsidRDefault="000971C7" w:rsidP="002C270B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Identify and represent numbers using objects and pictorial representations. </w:t>
            </w:r>
          </w:p>
          <w:p w:rsidR="000971C7" w:rsidRPr="009A16F7" w:rsidRDefault="000971C7" w:rsidP="002C270B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Given a number, identify 1 more or 1 less.</w:t>
            </w:r>
          </w:p>
          <w:p w:rsidR="000971C7" w:rsidRPr="00C92C29" w:rsidRDefault="000971C7" w:rsidP="002C270B">
            <w:pPr>
              <w:pStyle w:val="Default"/>
              <w:shd w:val="clear" w:color="auto" w:fill="FFFFCC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</w:pPr>
            <w:r w:rsidRPr="00C92C29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</w:rPr>
              <w:t xml:space="preserve">Measures: Length and height </w:t>
            </w:r>
          </w:p>
          <w:p w:rsidR="000971C7" w:rsidRPr="009A16F7" w:rsidRDefault="000971C7" w:rsidP="002C270B">
            <w:pPr>
              <w:pStyle w:val="Default"/>
              <w:shd w:val="clear" w:color="auto" w:fill="FFFFCC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92C2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Compare, describe and solve practical problems for: lengths and heights for example, long/short, longer/sh</w:t>
            </w:r>
            <w:r w:rsid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orter, tall/short, double/</w:t>
            </w:r>
            <w:proofErr w:type="gramStart"/>
            <w:r w:rsid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half  </w:t>
            </w: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Measure</w:t>
            </w:r>
            <w:proofErr w:type="gramEnd"/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and begin to record lengths and heights.</w:t>
            </w:r>
            <w:r>
              <w:rPr>
                <w:sz w:val="22"/>
                <w:szCs w:val="22"/>
              </w:rPr>
              <w:t xml:space="preserve"> </w:t>
            </w:r>
          </w:p>
          <w:p w:rsidR="000971C7" w:rsidRPr="00B777E5" w:rsidRDefault="000971C7" w:rsidP="002C270B">
            <w:pPr>
              <w:pStyle w:val="Default"/>
              <w:shd w:val="clear" w:color="auto" w:fill="DBE5F1" w:themeFill="accent1" w:themeFillTint="33"/>
              <w:rPr>
                <w:b/>
                <w:sz w:val="22"/>
                <w:szCs w:val="22"/>
                <w:u w:val="single"/>
              </w:rPr>
            </w:pPr>
            <w:r w:rsidRPr="00B777E5">
              <w:rPr>
                <w:b/>
                <w:sz w:val="22"/>
                <w:szCs w:val="22"/>
                <w:u w:val="single"/>
              </w:rPr>
              <w:t xml:space="preserve">Number: Addition and Subtraction </w:t>
            </w:r>
          </w:p>
          <w:p w:rsidR="000971C7" w:rsidRPr="009A16F7" w:rsidRDefault="000971C7" w:rsidP="002C270B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Add and subtract one digit and two digit numbers to 40, including zero. </w:t>
            </w:r>
          </w:p>
          <w:p w:rsidR="000971C7" w:rsidRPr="009A16F7" w:rsidRDefault="000971C7" w:rsidP="002C270B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Add and subtract numbers using concrete objects, pictorial representations, and mentally, including: a two digit number and ones; a two digit number and tens; two </w:t>
            </w:r>
            <w:proofErr w:type="spellStart"/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two</w:t>
            </w:r>
            <w:proofErr w:type="spellEnd"/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digit numbers; a</w:t>
            </w:r>
            <w:r w:rsid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dding three digit numbers.  </w:t>
            </w: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Read, write and interpret mathematical statements involving addition (+), subtraction (-) and equals (=) signs. </w:t>
            </w:r>
          </w:p>
          <w:p w:rsidR="000971C7" w:rsidRDefault="000971C7" w:rsidP="002C270B">
            <w:pPr>
              <w:pStyle w:val="Default"/>
              <w:shd w:val="clear" w:color="auto" w:fill="DBE5F1" w:themeFill="accent1" w:themeFillTint="33"/>
            </w:pPr>
            <w:r w:rsidRPr="009A16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Solve one step problems that involve addition and subtraction, using concrete objects and pictorial representations and missing number problems.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4"/>
            <w:shd w:val="clear" w:color="auto" w:fill="DBE5F1" w:themeFill="accent1" w:themeFillTint="33"/>
          </w:tcPr>
          <w:p w:rsidR="00B777E5" w:rsidRPr="00B777E5" w:rsidRDefault="000971C7" w:rsidP="00B777E5">
            <w:r>
              <w:t xml:space="preserve"> </w:t>
            </w:r>
            <w:r w:rsidRPr="00203B67">
              <w:rPr>
                <w:b/>
                <w:u w:val="single"/>
              </w:rPr>
              <w:t xml:space="preserve"> </w:t>
            </w:r>
            <w:r w:rsidR="00B777E5" w:rsidRPr="00203B67">
              <w:rPr>
                <w:b/>
                <w:u w:val="single"/>
              </w:rPr>
              <w:t xml:space="preserve">Number: Fractions </w:t>
            </w:r>
          </w:p>
          <w:p w:rsidR="00B777E5" w:rsidRPr="00203B67" w:rsidRDefault="00B777E5" w:rsidP="00B777E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03B6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Recognise, find and name a half as one of two equal parts of an object, shape or quantity. </w:t>
            </w:r>
          </w:p>
          <w:p w:rsidR="00B777E5" w:rsidRDefault="00B777E5" w:rsidP="00B777E5">
            <w:r>
              <w:t xml:space="preserve">Recognise, find and name a quarter as one of four equal parts of an object, shape or quantity. </w:t>
            </w:r>
          </w:p>
          <w:p w:rsidR="00B777E5" w:rsidRPr="00203B67" w:rsidRDefault="00B777E5" w:rsidP="00B777E5">
            <w:pPr>
              <w:rPr>
                <w:b/>
                <w:u w:val="single"/>
              </w:rPr>
            </w:pPr>
            <w:r>
              <w:t>Recognise a fraction as ‘a part of the whole’ compared to a whole.</w:t>
            </w:r>
            <w:r w:rsidRPr="00203B67">
              <w:rPr>
                <w:b/>
                <w:u w:val="single"/>
              </w:rPr>
              <w:t xml:space="preserve"> </w:t>
            </w:r>
          </w:p>
          <w:p w:rsidR="000971C7" w:rsidRDefault="000971C7" w:rsidP="000971C7"/>
        </w:tc>
        <w:tc>
          <w:tcPr>
            <w:tcW w:w="1984" w:type="dxa"/>
            <w:gridSpan w:val="3"/>
          </w:tcPr>
          <w:p w:rsidR="000971C7" w:rsidRDefault="000971C7" w:rsidP="00AF0D9C">
            <w:r>
              <w:t>Where available, time to review, embed and assess.</w:t>
            </w:r>
          </w:p>
        </w:tc>
      </w:tr>
      <w:tr w:rsidR="009A16F7" w:rsidTr="002C270B">
        <w:trPr>
          <w:cantSplit/>
          <w:trHeight w:val="270"/>
        </w:trPr>
        <w:tc>
          <w:tcPr>
            <w:tcW w:w="675" w:type="dxa"/>
            <w:textDirection w:val="btLr"/>
          </w:tcPr>
          <w:p w:rsidR="009A16F7" w:rsidRDefault="009A16F7" w:rsidP="009A16F7">
            <w:pPr>
              <w:ind w:left="113" w:right="113"/>
            </w:pPr>
          </w:p>
        </w:tc>
        <w:tc>
          <w:tcPr>
            <w:tcW w:w="2100" w:type="dxa"/>
            <w:shd w:val="clear" w:color="auto" w:fill="DBE5F1" w:themeFill="accent1" w:themeFillTint="33"/>
          </w:tcPr>
          <w:p w:rsidR="009A16F7" w:rsidRPr="00972459" w:rsidRDefault="009A16F7" w:rsidP="009A16F7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9A16F7" w:rsidRDefault="009A16F7" w:rsidP="009A16F7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06" w:type="dxa"/>
            <w:shd w:val="clear" w:color="auto" w:fill="FDE9D9" w:themeFill="accent6" w:themeFillTint="33"/>
          </w:tcPr>
          <w:p w:rsidR="009A16F7" w:rsidRDefault="009A16F7" w:rsidP="009A16F7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1806" w:type="dxa"/>
            <w:shd w:val="clear" w:color="auto" w:fill="FDE9D9" w:themeFill="accent6" w:themeFillTint="33"/>
          </w:tcPr>
          <w:p w:rsidR="009A16F7" w:rsidRDefault="009A16F7" w:rsidP="009A16F7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911" w:type="dxa"/>
            <w:gridSpan w:val="2"/>
            <w:shd w:val="clear" w:color="auto" w:fill="FFFFCC"/>
          </w:tcPr>
          <w:p w:rsidR="009A16F7" w:rsidRDefault="009A16F7" w:rsidP="009A16F7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911" w:type="dxa"/>
            <w:gridSpan w:val="2"/>
            <w:shd w:val="clear" w:color="auto" w:fill="FFFFCC"/>
          </w:tcPr>
          <w:p w:rsidR="009A16F7" w:rsidRDefault="009A16F7" w:rsidP="009A16F7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1596" w:type="dxa"/>
            <w:gridSpan w:val="2"/>
          </w:tcPr>
          <w:p w:rsidR="009A16F7" w:rsidRDefault="009A16F7" w:rsidP="009A16F7"/>
        </w:tc>
        <w:tc>
          <w:tcPr>
            <w:tcW w:w="1806" w:type="dxa"/>
            <w:gridSpan w:val="2"/>
          </w:tcPr>
          <w:p w:rsidR="009A16F7" w:rsidRDefault="009A16F7" w:rsidP="009A16F7"/>
        </w:tc>
      </w:tr>
      <w:tr w:rsidR="009A16F7" w:rsidTr="002C270B">
        <w:trPr>
          <w:cantSplit/>
          <w:trHeight w:val="1134"/>
        </w:trPr>
        <w:tc>
          <w:tcPr>
            <w:tcW w:w="675" w:type="dxa"/>
            <w:textDirection w:val="btLr"/>
          </w:tcPr>
          <w:p w:rsidR="009A16F7" w:rsidRPr="004D47F9" w:rsidRDefault="009A16F7" w:rsidP="009A16F7">
            <w:pPr>
              <w:ind w:left="113" w:right="113"/>
              <w:rPr>
                <w:b/>
                <w:sz w:val="32"/>
                <w:szCs w:val="32"/>
              </w:rPr>
            </w:pPr>
            <w:r w:rsidRPr="004D47F9">
              <w:rPr>
                <w:b/>
                <w:sz w:val="32"/>
                <w:szCs w:val="32"/>
              </w:rPr>
              <w:t>Spring 2</w:t>
            </w:r>
            <w:r w:rsidR="00E84765" w:rsidRPr="004D47F9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E84765" w:rsidRPr="004D47F9">
              <w:rPr>
                <w:b/>
                <w:sz w:val="32"/>
                <w:szCs w:val="32"/>
              </w:rPr>
              <w:t>Yr</w:t>
            </w:r>
            <w:proofErr w:type="spellEnd"/>
            <w:r w:rsidR="00E84765" w:rsidRPr="004D47F9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3906" w:type="dxa"/>
            <w:gridSpan w:val="2"/>
            <w:shd w:val="clear" w:color="auto" w:fill="DBE5F1" w:themeFill="accent1" w:themeFillTint="33"/>
          </w:tcPr>
          <w:p w:rsidR="009A16F7" w:rsidRPr="00B777E5" w:rsidRDefault="009A16F7" w:rsidP="009A16F7">
            <w:r w:rsidRPr="00203B67">
              <w:rPr>
                <w:b/>
                <w:u w:val="single"/>
              </w:rPr>
              <w:t xml:space="preserve">Number: Fractions </w:t>
            </w:r>
          </w:p>
          <w:p w:rsidR="009A16F7" w:rsidRPr="00203B67" w:rsidRDefault="009A16F7" w:rsidP="009A1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03B6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Recognise, find and name a half as one of two equal parts of an object, shape or quantity. </w:t>
            </w:r>
          </w:p>
          <w:p w:rsidR="009A16F7" w:rsidRDefault="009A16F7" w:rsidP="009A16F7">
            <w:r>
              <w:t xml:space="preserve">Recognise, find and name a quarter as one of four equal parts of an object, shape or quantity. </w:t>
            </w:r>
          </w:p>
          <w:p w:rsidR="009A16F7" w:rsidRPr="00203B67" w:rsidRDefault="009A16F7" w:rsidP="009A16F7">
            <w:pPr>
              <w:rPr>
                <w:b/>
                <w:u w:val="single"/>
              </w:rPr>
            </w:pPr>
            <w:r>
              <w:t>Recognise a fraction as ‘a part of the whole’ compared to a whole.</w:t>
            </w:r>
            <w:r w:rsidRPr="00203B67">
              <w:rPr>
                <w:b/>
                <w:u w:val="single"/>
              </w:rPr>
              <w:t xml:space="preserve"> </w:t>
            </w:r>
          </w:p>
          <w:p w:rsidR="009A16F7" w:rsidRDefault="009A16F7" w:rsidP="009A16F7"/>
        </w:tc>
        <w:tc>
          <w:tcPr>
            <w:tcW w:w="3612" w:type="dxa"/>
            <w:gridSpan w:val="2"/>
            <w:shd w:val="clear" w:color="auto" w:fill="FDE9D9" w:themeFill="accent6" w:themeFillTint="33"/>
          </w:tcPr>
          <w:p w:rsidR="009A16F7" w:rsidRDefault="009A16F7" w:rsidP="009A16F7">
            <w:pPr>
              <w:pStyle w:val="Default"/>
            </w:pPr>
            <w:r>
              <w:t>Money</w:t>
            </w:r>
          </w:p>
          <w:p w:rsidR="009A16F7" w:rsidRDefault="009A16F7" w:rsidP="009A1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Measurement: Money </w:t>
            </w:r>
          </w:p>
          <w:p w:rsidR="009A16F7" w:rsidRDefault="009A16F7" w:rsidP="009A1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know the value of different denominations of coins and notes. </w:t>
            </w:r>
          </w:p>
          <w:p w:rsidR="009A16F7" w:rsidRDefault="009A16F7" w:rsidP="009A16F7">
            <w:pPr>
              <w:pStyle w:val="Default"/>
            </w:pPr>
            <w:r>
              <w:rPr>
                <w:sz w:val="22"/>
                <w:szCs w:val="22"/>
              </w:rPr>
              <w:t xml:space="preserve">Solve one step problems that involve addition and subtraction, using concrete objects and pictorial representations, and missing number problems. </w:t>
            </w:r>
          </w:p>
        </w:tc>
        <w:tc>
          <w:tcPr>
            <w:tcW w:w="3822" w:type="dxa"/>
            <w:gridSpan w:val="4"/>
            <w:shd w:val="clear" w:color="auto" w:fill="FFFFCC"/>
          </w:tcPr>
          <w:p w:rsidR="009A16F7" w:rsidRDefault="009A16F7" w:rsidP="009A16F7">
            <w:r>
              <w:t>Measurement Weight and volume</w:t>
            </w:r>
          </w:p>
          <w:p w:rsidR="009A16F7" w:rsidRDefault="009A16F7" w:rsidP="009A1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Compare, describe and solve practical problems for mass/weight [for example, heavy/light, heavier than, lighter than]; capacity and volume [for example, full/empty, more than, less than, half, half full, quarter] </w:t>
            </w:r>
          </w:p>
          <w:p w:rsidR="009A16F7" w:rsidRPr="009A16F7" w:rsidRDefault="009A16F7" w:rsidP="009A16F7">
            <w:pPr>
              <w:rPr>
                <w:rFonts w:ascii="Arial" w:hAnsi="Arial" w:cs="Arial"/>
                <w:color w:val="000000"/>
              </w:rPr>
            </w:pPr>
            <w:r w:rsidRPr="009A16F7">
              <w:rPr>
                <w:rFonts w:ascii="Arial" w:hAnsi="Arial" w:cs="Arial"/>
                <w:color w:val="000000"/>
              </w:rPr>
              <w:t xml:space="preserve">Measure and begin to record mass/weight, capacity and volume. </w:t>
            </w:r>
          </w:p>
          <w:p w:rsidR="009A16F7" w:rsidRDefault="009A16F7" w:rsidP="009A16F7">
            <w:r>
              <w:t>.</w:t>
            </w:r>
          </w:p>
        </w:tc>
        <w:tc>
          <w:tcPr>
            <w:tcW w:w="1596" w:type="dxa"/>
            <w:gridSpan w:val="2"/>
          </w:tcPr>
          <w:p w:rsidR="009A16F7" w:rsidRDefault="009A16F7" w:rsidP="009A16F7">
            <w:r>
              <w:t>Where available, time to review, embed and assess</w:t>
            </w:r>
          </w:p>
        </w:tc>
        <w:tc>
          <w:tcPr>
            <w:tcW w:w="1806" w:type="dxa"/>
            <w:gridSpan w:val="2"/>
          </w:tcPr>
          <w:p w:rsidR="009A16F7" w:rsidRDefault="00F8246E" w:rsidP="009A16F7">
            <w:r>
              <w:t xml:space="preserve">As needed to reinforce, embed and </w:t>
            </w:r>
            <w:proofErr w:type="gramStart"/>
            <w:r>
              <w:t>apply  learning</w:t>
            </w:r>
            <w:proofErr w:type="gramEnd"/>
            <w:r>
              <w:t>.</w:t>
            </w:r>
          </w:p>
        </w:tc>
      </w:tr>
    </w:tbl>
    <w:p w:rsidR="00B01938" w:rsidRDefault="00B01938"/>
    <w:p w:rsidR="00B01938" w:rsidRDefault="00B0193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985"/>
        <w:gridCol w:w="2126"/>
        <w:gridCol w:w="1701"/>
        <w:gridCol w:w="2497"/>
        <w:gridCol w:w="1952"/>
      </w:tblGrid>
      <w:tr w:rsidR="004D47F9" w:rsidTr="002C270B">
        <w:trPr>
          <w:cantSplit/>
          <w:trHeight w:val="419"/>
        </w:trPr>
        <w:tc>
          <w:tcPr>
            <w:tcW w:w="534" w:type="dxa"/>
            <w:textDirection w:val="btLr"/>
          </w:tcPr>
          <w:p w:rsidR="004D47F9" w:rsidRDefault="004D47F9" w:rsidP="00106C6F">
            <w:pPr>
              <w:ind w:left="113" w:right="113"/>
            </w:pPr>
          </w:p>
        </w:tc>
        <w:tc>
          <w:tcPr>
            <w:tcW w:w="2409" w:type="dxa"/>
            <w:shd w:val="clear" w:color="auto" w:fill="FFFFCC"/>
          </w:tcPr>
          <w:p w:rsidR="004D47F9" w:rsidRDefault="004D47F9" w:rsidP="009A1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2410" w:type="dxa"/>
            <w:shd w:val="clear" w:color="auto" w:fill="FFFFCC"/>
          </w:tcPr>
          <w:p w:rsidR="004D47F9" w:rsidRDefault="004D47F9" w:rsidP="009A1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D47F9" w:rsidRDefault="004D47F9">
            <w:r>
              <w:t>Week 3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D47F9" w:rsidRDefault="004D47F9">
            <w:r>
              <w:t>Week 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D47F9" w:rsidRDefault="004D47F9">
            <w:r>
              <w:t>Week 5</w:t>
            </w:r>
          </w:p>
        </w:tc>
        <w:tc>
          <w:tcPr>
            <w:tcW w:w="2497" w:type="dxa"/>
            <w:shd w:val="clear" w:color="auto" w:fill="FDE9D9" w:themeFill="accent6" w:themeFillTint="33"/>
          </w:tcPr>
          <w:p w:rsidR="004D47F9" w:rsidRDefault="004D47F9">
            <w:r>
              <w:t>Week 6</w:t>
            </w:r>
          </w:p>
        </w:tc>
        <w:tc>
          <w:tcPr>
            <w:tcW w:w="1952" w:type="dxa"/>
          </w:tcPr>
          <w:p w:rsidR="004D47F9" w:rsidRDefault="00F8246E">
            <w:r>
              <w:t>Week 7</w:t>
            </w:r>
          </w:p>
        </w:tc>
      </w:tr>
      <w:tr w:rsidR="004D47F9" w:rsidTr="002C270B">
        <w:trPr>
          <w:cantSplit/>
          <w:trHeight w:val="1134"/>
        </w:trPr>
        <w:tc>
          <w:tcPr>
            <w:tcW w:w="534" w:type="dxa"/>
            <w:textDirection w:val="btLr"/>
          </w:tcPr>
          <w:p w:rsidR="004D47F9" w:rsidRDefault="004D47F9" w:rsidP="00106C6F">
            <w:pPr>
              <w:ind w:left="113" w:right="113"/>
            </w:pPr>
            <w:r>
              <w:t>Summer 1</w:t>
            </w:r>
            <w:r w:rsidR="00F8246E">
              <w:t xml:space="preserve">   </w:t>
            </w:r>
            <w:proofErr w:type="spellStart"/>
            <w:r w:rsidR="00F8246E">
              <w:t>Yr</w:t>
            </w:r>
            <w:proofErr w:type="spellEnd"/>
            <w:r w:rsidR="00F8246E">
              <w:t xml:space="preserve"> 1</w:t>
            </w:r>
          </w:p>
        </w:tc>
        <w:tc>
          <w:tcPr>
            <w:tcW w:w="4819" w:type="dxa"/>
            <w:gridSpan w:val="2"/>
            <w:shd w:val="clear" w:color="auto" w:fill="FFFFCC"/>
          </w:tcPr>
          <w:p w:rsidR="004D47F9" w:rsidRDefault="004D47F9" w:rsidP="009A1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Time </w:t>
            </w:r>
          </w:p>
          <w:p w:rsidR="004D47F9" w:rsidRDefault="004D47F9" w:rsidP="009A1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Tell the time to the hour and half past the hour and draw the hands on a clock face to show these times. </w:t>
            </w:r>
          </w:p>
          <w:p w:rsidR="004D47F9" w:rsidRDefault="004D47F9" w:rsidP="009A1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Recognise and use language relating to dates, including days of the week, weeks, months and years. </w:t>
            </w:r>
          </w:p>
          <w:p w:rsidR="004D47F9" w:rsidRDefault="004D47F9" w:rsidP="009A1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Compare, describe and solve practical problems for time [for example, quicker, slower, earlier, later] and measure and begin to record time (hours, minutes, seconds) </w:t>
            </w:r>
          </w:p>
          <w:p w:rsidR="004D47F9" w:rsidRPr="00E84765" w:rsidRDefault="004D47F9" w:rsidP="00E84765">
            <w:pPr>
              <w:pStyle w:val="Default"/>
              <w:framePr w:hSpace="180" w:wrap="around" w:hAnchor="margin" w:y="686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193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Sequence events in chronological order using language [for example, before and after, next, first, today, yesterday, tomorrow, morning, afternoon and evening.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:rsidR="004D47F9" w:rsidRDefault="004D47F9">
            <w:r>
              <w:t>Number focus: review and embed key skills</w:t>
            </w:r>
          </w:p>
          <w:p w:rsidR="004D47F9" w:rsidRDefault="004D47F9"/>
        </w:tc>
        <w:tc>
          <w:tcPr>
            <w:tcW w:w="4198" w:type="dxa"/>
            <w:gridSpan w:val="2"/>
            <w:shd w:val="clear" w:color="auto" w:fill="FDE9D9" w:themeFill="accent6" w:themeFillTint="33"/>
          </w:tcPr>
          <w:p w:rsidR="004D47F9" w:rsidRDefault="004D47F9">
            <w:r>
              <w:t>Geometry: Shape</w:t>
            </w:r>
          </w:p>
        </w:tc>
        <w:tc>
          <w:tcPr>
            <w:tcW w:w="1952" w:type="dxa"/>
          </w:tcPr>
          <w:p w:rsidR="004D47F9" w:rsidRDefault="00F8246E">
            <w:r>
              <w:t xml:space="preserve">As needed to reinforce, embed and </w:t>
            </w:r>
            <w:proofErr w:type="gramStart"/>
            <w:r>
              <w:t>apply  learning</w:t>
            </w:r>
            <w:proofErr w:type="gramEnd"/>
            <w:r>
              <w:t>.</w:t>
            </w:r>
          </w:p>
        </w:tc>
      </w:tr>
    </w:tbl>
    <w:p w:rsidR="008369D3" w:rsidRDefault="008369D3" w:rsidP="00C27FEF"/>
    <w:sectPr w:rsidR="008369D3" w:rsidSect="0097245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42" w:rsidRDefault="00F36F42" w:rsidP="00F36F42">
      <w:pPr>
        <w:spacing w:after="0" w:line="240" w:lineRule="auto"/>
      </w:pPr>
      <w:r>
        <w:separator/>
      </w:r>
    </w:p>
  </w:endnote>
  <w:endnote w:type="continuationSeparator" w:id="0">
    <w:p w:rsidR="00F36F42" w:rsidRDefault="00F36F42" w:rsidP="00F3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42" w:rsidRDefault="00F36F42" w:rsidP="00F36F42">
      <w:pPr>
        <w:spacing w:after="0" w:line="240" w:lineRule="auto"/>
      </w:pPr>
      <w:r>
        <w:separator/>
      </w:r>
    </w:p>
  </w:footnote>
  <w:footnote w:type="continuationSeparator" w:id="0">
    <w:p w:rsidR="00F36F42" w:rsidRDefault="00F36F42" w:rsidP="00F3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12" w:rsidRPr="00F36F42" w:rsidRDefault="00F36F42" w:rsidP="009A16F7">
    <w:pPr>
      <w:pStyle w:val="Header"/>
      <w:jc w:val="center"/>
      <w:rPr>
        <w:sz w:val="44"/>
        <w:szCs w:val="44"/>
      </w:rPr>
    </w:pPr>
    <w:proofErr w:type="spellStart"/>
    <w:r w:rsidRPr="00F36F42">
      <w:rPr>
        <w:sz w:val="44"/>
        <w:szCs w:val="44"/>
      </w:rPr>
      <w:t>Rownhams</w:t>
    </w:r>
    <w:proofErr w:type="spellEnd"/>
    <w:r w:rsidRPr="00F36F42">
      <w:rPr>
        <w:sz w:val="44"/>
        <w:szCs w:val="44"/>
      </w:rPr>
      <w:t xml:space="preserve"> St Johns Primary School Maths Overview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9FC"/>
    <w:multiLevelType w:val="hybridMultilevel"/>
    <w:tmpl w:val="1C881456"/>
    <w:lvl w:ilvl="0" w:tplc="15907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7862"/>
    <w:multiLevelType w:val="hybridMultilevel"/>
    <w:tmpl w:val="E8246A06"/>
    <w:lvl w:ilvl="0" w:tplc="1F323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072AA"/>
    <w:multiLevelType w:val="hybridMultilevel"/>
    <w:tmpl w:val="B0D45F1E"/>
    <w:lvl w:ilvl="0" w:tplc="A196843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EF02E95"/>
    <w:multiLevelType w:val="hybridMultilevel"/>
    <w:tmpl w:val="744AA0D8"/>
    <w:lvl w:ilvl="0" w:tplc="222AF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80675"/>
    <w:multiLevelType w:val="hybridMultilevel"/>
    <w:tmpl w:val="2DEC35AC"/>
    <w:lvl w:ilvl="0" w:tplc="215A0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45BD7"/>
    <w:multiLevelType w:val="hybridMultilevel"/>
    <w:tmpl w:val="59EC10FC"/>
    <w:lvl w:ilvl="0" w:tplc="9CAAA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9"/>
    <w:rsid w:val="000971C7"/>
    <w:rsid w:val="000B2F85"/>
    <w:rsid w:val="00106C6F"/>
    <w:rsid w:val="00144012"/>
    <w:rsid w:val="001709B7"/>
    <w:rsid w:val="001C1740"/>
    <w:rsid w:val="001D6891"/>
    <w:rsid w:val="00203B67"/>
    <w:rsid w:val="00240212"/>
    <w:rsid w:val="002C270B"/>
    <w:rsid w:val="00320C2A"/>
    <w:rsid w:val="00471CFA"/>
    <w:rsid w:val="004C6EA3"/>
    <w:rsid w:val="004D47F9"/>
    <w:rsid w:val="005A131D"/>
    <w:rsid w:val="0062372D"/>
    <w:rsid w:val="0063490E"/>
    <w:rsid w:val="00635CAD"/>
    <w:rsid w:val="00650ABF"/>
    <w:rsid w:val="006F7567"/>
    <w:rsid w:val="00735238"/>
    <w:rsid w:val="008044B1"/>
    <w:rsid w:val="008369D3"/>
    <w:rsid w:val="008807FA"/>
    <w:rsid w:val="00972459"/>
    <w:rsid w:val="009A16F7"/>
    <w:rsid w:val="009B70AB"/>
    <w:rsid w:val="00A42358"/>
    <w:rsid w:val="00AB69E7"/>
    <w:rsid w:val="00AD442F"/>
    <w:rsid w:val="00B01938"/>
    <w:rsid w:val="00B777E5"/>
    <w:rsid w:val="00C27FEF"/>
    <w:rsid w:val="00C72CD6"/>
    <w:rsid w:val="00C92C29"/>
    <w:rsid w:val="00CF44FF"/>
    <w:rsid w:val="00D8055C"/>
    <w:rsid w:val="00DC0A29"/>
    <w:rsid w:val="00DE415D"/>
    <w:rsid w:val="00E84765"/>
    <w:rsid w:val="00F051E1"/>
    <w:rsid w:val="00F36F42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42"/>
  </w:style>
  <w:style w:type="paragraph" w:styleId="Footer">
    <w:name w:val="footer"/>
    <w:basedOn w:val="Normal"/>
    <w:link w:val="Foot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42"/>
  </w:style>
  <w:style w:type="character" w:customStyle="1" w:styleId="BodytextcellCharacter">
    <w:name w:val="Body text cell Character"/>
    <w:basedOn w:val="DefaultParagraphFont"/>
    <w:rsid w:val="00AB69E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C0A29"/>
    <w:pPr>
      <w:ind w:left="720"/>
      <w:contextualSpacing/>
    </w:pPr>
  </w:style>
  <w:style w:type="paragraph" w:customStyle="1" w:styleId="Default">
    <w:name w:val="Default"/>
    <w:rsid w:val="00C92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42"/>
  </w:style>
  <w:style w:type="paragraph" w:styleId="Footer">
    <w:name w:val="footer"/>
    <w:basedOn w:val="Normal"/>
    <w:link w:val="Foot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42"/>
  </w:style>
  <w:style w:type="character" w:customStyle="1" w:styleId="BodytextcellCharacter">
    <w:name w:val="Body text cell Character"/>
    <w:basedOn w:val="DefaultParagraphFont"/>
    <w:rsid w:val="00AB69E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C0A29"/>
    <w:pPr>
      <w:ind w:left="720"/>
      <w:contextualSpacing/>
    </w:pPr>
  </w:style>
  <w:style w:type="paragraph" w:customStyle="1" w:styleId="Default">
    <w:name w:val="Default"/>
    <w:rsid w:val="00C92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mwither3</dc:creator>
  <cp:lastModifiedBy>gkynast2</cp:lastModifiedBy>
  <cp:revision>3</cp:revision>
  <dcterms:created xsi:type="dcterms:W3CDTF">2016-10-04T13:50:00Z</dcterms:created>
  <dcterms:modified xsi:type="dcterms:W3CDTF">2016-10-04T13:54:00Z</dcterms:modified>
</cp:coreProperties>
</file>